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C" w:rsidRDefault="00085D29">
      <w:pPr>
        <w:pStyle w:val="TitleStyle"/>
      </w:pPr>
      <w:r>
        <w:t>System oświaty.</w:t>
      </w:r>
    </w:p>
    <w:p w:rsidR="00A573AC" w:rsidRDefault="00085D29">
      <w:pPr>
        <w:pStyle w:val="NormalStyle"/>
      </w:pPr>
      <w:r>
        <w:t xml:space="preserve">Dz.U.2016.1943 </w:t>
      </w:r>
      <w:proofErr w:type="spellStart"/>
      <w:r>
        <w:t>t.j</w:t>
      </w:r>
      <w:proofErr w:type="spellEnd"/>
      <w:r>
        <w:t>. z dnia 2016.12.02</w:t>
      </w:r>
    </w:p>
    <w:p w:rsidR="00A573AC" w:rsidRDefault="00085D29">
      <w:pPr>
        <w:pStyle w:val="NormalStyle"/>
      </w:pPr>
      <w:r>
        <w:t>Status: Akt obowiązujący</w:t>
      </w:r>
    </w:p>
    <w:p w:rsidR="00A573AC" w:rsidRDefault="00085D29">
      <w:pPr>
        <w:pStyle w:val="NormalStyle"/>
      </w:pPr>
      <w:r>
        <w:t>Wersja od: 1 września 2017 r.  do: 31 sierpnia 2018 r.</w:t>
      </w:r>
    </w:p>
    <w:p w:rsidR="00A573AC" w:rsidRDefault="00085D29">
      <w:pPr>
        <w:spacing w:after="0"/>
      </w:pPr>
      <w:r>
        <w:br/>
      </w:r>
    </w:p>
    <w:p w:rsidR="00A573AC" w:rsidRDefault="00085D29">
      <w:pPr>
        <w:spacing w:after="0"/>
      </w:pPr>
      <w:r>
        <w:rPr>
          <w:color w:val="000000"/>
        </w:rPr>
        <w:t>25 października 1991 r.,1 stycznia 1992 r.</w:t>
      </w:r>
    </w:p>
    <w:p w:rsidR="00A573AC" w:rsidRDefault="00085D29">
      <w:pPr>
        <w:numPr>
          <w:ilvl w:val="1"/>
          <w:numId w:val="1"/>
        </w:numPr>
        <w:spacing w:after="0"/>
      </w:pPr>
      <w:r>
        <w:rPr>
          <w:color w:val="000000"/>
        </w:rPr>
        <w:t>art. 115</w:t>
      </w:r>
    </w:p>
    <w:p w:rsidR="00A573AC" w:rsidRDefault="00A573AC">
      <w:pPr>
        <w:spacing w:after="0"/>
      </w:pPr>
    </w:p>
    <w:p w:rsidR="00A573AC" w:rsidRDefault="00085D29">
      <w:pPr>
        <w:spacing w:after="0"/>
      </w:pPr>
      <w:r>
        <w:br/>
      </w:r>
    </w:p>
    <w:p w:rsidR="00A573AC" w:rsidRDefault="00A573AC">
      <w:pPr>
        <w:spacing w:after="0"/>
      </w:pPr>
    </w:p>
    <w:p w:rsidR="00A573AC" w:rsidRDefault="00085D29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A573AC" w:rsidRDefault="00085D29">
      <w:pPr>
        <w:spacing w:before="25" w:after="0"/>
        <w:jc w:val="center"/>
      </w:pPr>
      <w:r>
        <w:rPr>
          <w:b/>
          <w:color w:val="000000"/>
        </w:rPr>
        <w:t xml:space="preserve">Wychowanie przedszkolne, obowiązek szkolny i </w:t>
      </w:r>
      <w:r>
        <w:rPr>
          <w:b/>
          <w:color w:val="000000"/>
        </w:rPr>
        <w:t>obowiązek nauki</w:t>
      </w:r>
    </w:p>
    <w:p w:rsidR="00A573AC" w:rsidRDefault="00A573AC">
      <w:pPr>
        <w:spacing w:before="80" w:after="0"/>
      </w:pPr>
    </w:p>
    <w:p w:rsidR="00A573AC" w:rsidRDefault="00085D29">
      <w:pPr>
        <w:spacing w:after="0"/>
      </w:pPr>
      <w:r>
        <w:rPr>
          <w:b/>
          <w:color w:val="000000"/>
        </w:rPr>
        <w:t xml:space="preserve">Art.  14.  [Opłaty za korzystanie z wychowania przedszkolnego] </w:t>
      </w:r>
    </w:p>
    <w:p w:rsidR="00A573AC" w:rsidRDefault="00085D29">
      <w:pPr>
        <w:spacing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101</w:t>
      </w:r>
      <w:r>
        <w:rPr>
          <w:color w:val="000000"/>
        </w:rPr>
        <w:t xml:space="preserve">  (uchylony).</w:t>
      </w:r>
    </w:p>
    <w:p w:rsidR="00A573AC" w:rsidRDefault="00085D29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102</w:t>
      </w:r>
      <w:r>
        <w:rPr>
          <w:color w:val="000000"/>
        </w:rPr>
        <w:t xml:space="preserve">  (uchylony).</w:t>
      </w:r>
    </w:p>
    <w:p w:rsidR="00A573AC" w:rsidRDefault="00085D29">
      <w:pPr>
        <w:spacing w:before="26" w:after="0"/>
      </w:pPr>
      <w:r>
        <w:rPr>
          <w:color w:val="000000"/>
        </w:rPr>
        <w:t xml:space="preserve">1b.  </w:t>
      </w:r>
      <w:r>
        <w:rPr>
          <w:color w:val="000000"/>
          <w:vertAlign w:val="superscript"/>
        </w:rPr>
        <w:t>103</w:t>
      </w:r>
      <w:r>
        <w:rPr>
          <w:color w:val="000000"/>
        </w:rPr>
        <w:t xml:space="preserve">  (uchylony).</w:t>
      </w:r>
    </w:p>
    <w:p w:rsidR="00A573AC" w:rsidRDefault="00085D29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104</w:t>
      </w:r>
      <w:r>
        <w:rPr>
          <w:color w:val="000000"/>
        </w:rPr>
        <w:t xml:space="preserve">  (uchylony).</w:t>
      </w:r>
    </w:p>
    <w:p w:rsidR="00A573AC" w:rsidRDefault="00085D29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105</w:t>
      </w:r>
      <w:r>
        <w:rPr>
          <w:color w:val="000000"/>
        </w:rPr>
        <w:t xml:space="preserve">  (uchylony).</w:t>
      </w:r>
    </w:p>
    <w:p w:rsidR="00A573AC" w:rsidRDefault="00085D29">
      <w:pPr>
        <w:spacing w:before="26" w:after="0"/>
      </w:pPr>
      <w:r>
        <w:rPr>
          <w:color w:val="000000"/>
        </w:rPr>
        <w:t xml:space="preserve">3a.  </w:t>
      </w:r>
      <w:r>
        <w:rPr>
          <w:color w:val="000000"/>
          <w:vertAlign w:val="superscript"/>
        </w:rPr>
        <w:t>106</w:t>
      </w:r>
      <w:r>
        <w:rPr>
          <w:color w:val="000000"/>
        </w:rPr>
        <w:t xml:space="preserve">  (uchylony).</w:t>
      </w:r>
    </w:p>
    <w:p w:rsidR="00A573AC" w:rsidRDefault="00085D29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107</w:t>
      </w:r>
      <w:r>
        <w:rPr>
          <w:color w:val="000000"/>
        </w:rPr>
        <w:t xml:space="preserve">  (uchylony).</w:t>
      </w:r>
    </w:p>
    <w:p w:rsidR="00A573AC" w:rsidRDefault="00085D29">
      <w:pPr>
        <w:spacing w:before="26" w:after="0"/>
      </w:pPr>
      <w:r>
        <w:rPr>
          <w:color w:val="000000"/>
        </w:rPr>
        <w:t xml:space="preserve">4a.  </w:t>
      </w:r>
      <w:r>
        <w:rPr>
          <w:color w:val="000000"/>
          <w:vertAlign w:val="superscript"/>
        </w:rPr>
        <w:t>108</w:t>
      </w:r>
      <w:r>
        <w:rPr>
          <w:color w:val="000000"/>
        </w:rPr>
        <w:t xml:space="preserve">  (uchylony).</w:t>
      </w:r>
    </w:p>
    <w:p w:rsidR="00A573AC" w:rsidRDefault="00085D29">
      <w:pPr>
        <w:spacing w:before="26" w:after="0"/>
      </w:pPr>
      <w:r>
        <w:rPr>
          <w:color w:val="000000"/>
        </w:rPr>
        <w:t>4b.</w:t>
      </w:r>
      <w:r>
        <w:rPr>
          <w:color w:val="000000"/>
        </w:rPr>
        <w:t xml:space="preserve">  </w:t>
      </w:r>
      <w:r>
        <w:rPr>
          <w:color w:val="000000"/>
          <w:vertAlign w:val="superscript"/>
        </w:rPr>
        <w:t>109</w:t>
      </w:r>
      <w:r>
        <w:rPr>
          <w:color w:val="000000"/>
        </w:rPr>
        <w:t xml:space="preserve">  (uchylony).</w:t>
      </w:r>
    </w:p>
    <w:p w:rsidR="00A573AC" w:rsidRDefault="00085D29">
      <w:pPr>
        <w:spacing w:before="26" w:after="0"/>
      </w:pPr>
      <w:r>
        <w:rPr>
          <w:color w:val="000000"/>
        </w:rPr>
        <w:t>4c.  (uchylony).</w:t>
      </w:r>
    </w:p>
    <w:p w:rsidR="00A573AC" w:rsidRDefault="00085D29">
      <w:pPr>
        <w:spacing w:before="26" w:after="0"/>
      </w:pPr>
      <w:r>
        <w:rPr>
          <w:color w:val="000000"/>
        </w:rPr>
        <w:t>5.  Rada gminy:</w:t>
      </w:r>
    </w:p>
    <w:p w:rsidR="00A573AC" w:rsidRDefault="00085D29">
      <w:pPr>
        <w:spacing w:before="26" w:after="0"/>
        <w:ind w:left="373"/>
      </w:pPr>
      <w:r w:rsidRPr="00085D29">
        <w:rPr>
          <w:color w:val="000000"/>
          <w:highlight w:val="yellow"/>
        </w:rPr>
        <w:t xml:space="preserve">1) </w:t>
      </w:r>
      <w:r w:rsidRPr="00085D29">
        <w:rPr>
          <w:color w:val="000000"/>
          <w:highlight w:val="yellow"/>
          <w:vertAlign w:val="superscript"/>
        </w:rPr>
        <w:t>110</w:t>
      </w:r>
      <w:r w:rsidRPr="00085D29">
        <w:rPr>
          <w:color w:val="000000"/>
          <w:highlight w:val="yellow"/>
        </w:rPr>
        <w:t xml:space="preserve">  określa wysokość opłat za korzystanie z wychowania przedszkolnego dzieci w wieku do lat 5 w prowadzonych przez gminę:</w:t>
      </w:r>
    </w:p>
    <w:p w:rsidR="00A573AC" w:rsidRDefault="00085D29">
      <w:pPr>
        <w:spacing w:after="0"/>
        <w:ind w:left="746"/>
      </w:pPr>
      <w:r>
        <w:rPr>
          <w:color w:val="000000"/>
        </w:rPr>
        <w:t xml:space="preserve">a) </w:t>
      </w:r>
      <w:r>
        <w:rPr>
          <w:color w:val="000000"/>
          <w:vertAlign w:val="superscript"/>
        </w:rPr>
        <w:t>111</w:t>
      </w:r>
      <w:r>
        <w:rPr>
          <w:color w:val="000000"/>
        </w:rPr>
        <w:t xml:space="preserve">  publicznym przedszkolu, oddziale przedszkolnym w publicznej szkole </w:t>
      </w:r>
      <w:r>
        <w:rPr>
          <w:color w:val="000000"/>
        </w:rPr>
        <w:t>podstawowej, w czasie przekraczającym wymiar zajęć, o którym mowa w art. 13 ust. 1 pkt 2 ustawy - Prawo oświatowe,</w:t>
      </w:r>
    </w:p>
    <w:p w:rsidR="00A573AC" w:rsidRDefault="00085D29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000000"/>
          <w:vertAlign w:val="superscript"/>
        </w:rPr>
        <w:t>112</w:t>
      </w:r>
      <w:r>
        <w:rPr>
          <w:color w:val="000000"/>
        </w:rPr>
        <w:t xml:space="preserve">  publicznej innej formie wychowania przedszkolnego w czasie przekraczającym czas bezpłatnego nauczania, wychowania i opieki ustalony d</w:t>
      </w:r>
      <w:r>
        <w:rPr>
          <w:color w:val="000000"/>
        </w:rPr>
        <w:t>la przedszkoli publicznych na podstawie art. 13 ust. 1 pkt 2 ustawy - Prawo oświatowe;</w:t>
      </w:r>
    </w:p>
    <w:p w:rsidR="00A573AC" w:rsidRDefault="00085D29">
      <w:pPr>
        <w:spacing w:before="26" w:after="0"/>
        <w:ind w:left="373"/>
      </w:pPr>
      <w:r>
        <w:rPr>
          <w:color w:val="000000"/>
        </w:rPr>
        <w:t>2) może określić warunki częściowego lub całkowitego zwolnienia z opłat, o których mowa w pkt 1.</w:t>
      </w:r>
    </w:p>
    <w:p w:rsidR="00A573AC" w:rsidRDefault="00085D29">
      <w:pPr>
        <w:spacing w:before="26" w:after="0"/>
      </w:pPr>
      <w:r>
        <w:rPr>
          <w:color w:val="000000"/>
        </w:rPr>
        <w:t xml:space="preserve">5a.  Wysokość opłaty, o której mowa w ust. 5 pkt 1, nie może być wyższa </w:t>
      </w:r>
      <w:r>
        <w:rPr>
          <w:color w:val="000000"/>
        </w:rPr>
        <w:t>niż 1 zł za godzinę zajęć.</w:t>
      </w:r>
    </w:p>
    <w:p w:rsidR="00A573AC" w:rsidRDefault="00085D29">
      <w:pPr>
        <w:spacing w:before="26" w:after="0"/>
      </w:pPr>
      <w:bookmarkStart w:id="0" w:name="_GoBack"/>
      <w:bookmarkEnd w:id="0"/>
      <w:r w:rsidRPr="00085D29">
        <w:rPr>
          <w:color w:val="000000"/>
          <w:highlight w:val="yellow"/>
        </w:rPr>
        <w:t xml:space="preserve">5aa.  </w:t>
      </w:r>
      <w:r w:rsidRPr="00085D29">
        <w:rPr>
          <w:color w:val="000000"/>
          <w:highlight w:val="yellow"/>
          <w:vertAlign w:val="superscript"/>
        </w:rPr>
        <w:t>113</w:t>
      </w:r>
      <w:r w:rsidRPr="00085D29">
        <w:rPr>
          <w:color w:val="000000"/>
          <w:highlight w:val="yellow"/>
        </w:rPr>
        <w:t xml:space="preserve">  Opłaty, o których mowa w ust. 5, są pobierane do końca roku szkolnego w roku kalendarzowym, w którym dziecko kończy 6 lat.</w:t>
      </w:r>
    </w:p>
    <w:p w:rsidR="00A573AC" w:rsidRDefault="00085D29">
      <w:pPr>
        <w:spacing w:before="26" w:after="0"/>
      </w:pPr>
      <w:r>
        <w:rPr>
          <w:color w:val="000000"/>
        </w:rPr>
        <w:lastRenderedPageBreak/>
        <w:t xml:space="preserve">5b.  Maksymalna wysokość opłaty, o której mowa w ust. 5a, podlega waloryzacji. Waloryzacja </w:t>
      </w:r>
      <w:r>
        <w:rPr>
          <w:color w:val="000000"/>
        </w:rPr>
        <w:t>dokonywana po raz pierwszy polega na pomnożeniu kwoty opłaty, o której mowa w ust. 5a, przez wskaźnik waloryzacji i zaokrągleniu w dół do pełnych groszy. Kolejne waloryzacje wysokości opłaty polegają na pomnożeniu kwoty opłaty z roku, w którym była dokonyw</w:t>
      </w:r>
      <w:r>
        <w:rPr>
          <w:color w:val="000000"/>
        </w:rPr>
        <w:t>ana ostatnia waloryzacja, przez wskaźnik waloryzacji i zaokrągleniu w dół do pełnych groszy. Waloryzacji dokonuje się od dnia 1 września roku kalendarzowego, w którym ogłoszono wysokość wskaźnika waloryzacji ustalonego zgodnie z ust. 5c lub 5d.</w:t>
      </w:r>
    </w:p>
    <w:p w:rsidR="00A573AC" w:rsidRDefault="00085D29">
      <w:pPr>
        <w:spacing w:before="26" w:after="0"/>
      </w:pPr>
      <w:r>
        <w:rPr>
          <w:color w:val="000000"/>
        </w:rPr>
        <w:t>5c.  Jeżeli</w:t>
      </w:r>
      <w:r>
        <w:rPr>
          <w:color w:val="000000"/>
        </w:rPr>
        <w:t xml:space="preserve"> średnioroczny wskaźnik cen, towarów i usług konsumpcyjnych ogółem określany przez Prezesa Głównego Urzędu Statystycznego w Dzienniku Urzędowym Rzeczypospolitej Polskiej "Monitor Polski" na podstawie </w:t>
      </w:r>
      <w:r>
        <w:rPr>
          <w:color w:val="1B1B1B"/>
        </w:rPr>
        <w:t>art. 94 ust. 1</w:t>
      </w:r>
      <w:r>
        <w:rPr>
          <w:color w:val="000000"/>
        </w:rPr>
        <w:t xml:space="preserve"> ustawy z dnia 17 grudnia 1998 r. o emeryt</w:t>
      </w:r>
      <w:r>
        <w:rPr>
          <w:color w:val="000000"/>
        </w:rPr>
        <w:t>urach i rentach z Funduszu Ubezpieczeń Społecznych (Dz. U. z 2016 r. poz. 887), za rok kalendarzowy, w którym była przeprowadzona ostatnia waloryzacja, a w przypadku waloryzacji dokonywanej po raz pierwszy - za rok 2013, wyniósł co najmniej 110, to wartość</w:t>
      </w:r>
      <w:r>
        <w:rPr>
          <w:color w:val="000000"/>
        </w:rPr>
        <w:t xml:space="preserve"> tego wskaźnika podzieloną przez 100 przyjmuje się jako wskaźnik waloryzacji.</w:t>
      </w:r>
    </w:p>
    <w:p w:rsidR="00A573AC" w:rsidRDefault="00085D29">
      <w:pPr>
        <w:spacing w:before="26" w:after="0"/>
      </w:pPr>
      <w:r>
        <w:rPr>
          <w:color w:val="000000"/>
        </w:rPr>
        <w:t>5d.  Jeżeli warunek, o którym mowa w ust. 5c, nie został spełniony, to wskaźnik waloryzacji ustala się jako iloczyn podzielonych przez 100 wartości średniorocznych wskaźników cen</w:t>
      </w:r>
      <w:r>
        <w:rPr>
          <w:color w:val="000000"/>
        </w:rPr>
        <w:t xml:space="preserve">, towarów i usług konsumpcyjnych ogółem określanych przez Prezesa Głównego Urzędu Statystycznego w Dzienniku Urzędowym Rzeczypospolitej Polskiej "Monitor Polski" na podstawie </w:t>
      </w:r>
      <w:r>
        <w:rPr>
          <w:color w:val="1B1B1B"/>
        </w:rPr>
        <w:t>art. 94 ust. 1</w:t>
      </w:r>
      <w:r>
        <w:rPr>
          <w:color w:val="000000"/>
        </w:rPr>
        <w:t xml:space="preserve"> ustawy z dnia 17 grudnia 1998 r. o emeryturach i rentach z Fundusz</w:t>
      </w:r>
      <w:r>
        <w:rPr>
          <w:color w:val="000000"/>
        </w:rPr>
        <w:t>u Ubezpieczeń Społecznych, wynoszący co najmniej 1,1 w okresie od roku kalendarzowego, w którym była przeprowadzona ostatnia waloryzacja, do roku poprzedzającego termin waloryzacji, a w przypadku waloryzacji dokonywanej po raz pierwszy, w okresie od roku 2</w:t>
      </w:r>
      <w:r>
        <w:rPr>
          <w:color w:val="000000"/>
        </w:rPr>
        <w:t>013 do roku poprzedzającego termin waloryzacji.</w:t>
      </w:r>
    </w:p>
    <w:p w:rsidR="00A573AC" w:rsidRDefault="00085D29">
      <w:pPr>
        <w:spacing w:before="26" w:after="0"/>
      </w:pPr>
      <w:r>
        <w:rPr>
          <w:color w:val="000000"/>
        </w:rPr>
        <w:t>5e.  Minister właściwy do spraw oświaty i wychowania ogłasza w Dzienniku Urzędowym Rzeczypospolitej Polskiej "Monitor Polski" w terminie do końca marca roku, w którym jest dokonywana waloryzacja, o której mow</w:t>
      </w:r>
      <w:r>
        <w:rPr>
          <w:color w:val="000000"/>
        </w:rPr>
        <w:t>a w ust. 5b, wysokość wskaźnika waloryzacji oraz maksymalną wysokość kwoty opłaty, o której mowa w ust. 5 pkt 1, po waloryzacji.</w:t>
      </w:r>
    </w:p>
    <w:p w:rsidR="00A573AC" w:rsidRDefault="00085D29">
      <w:pPr>
        <w:spacing w:before="26" w:after="0"/>
      </w:pPr>
      <w:r>
        <w:rPr>
          <w:color w:val="000000"/>
        </w:rPr>
        <w:t xml:space="preserve">5f.  </w:t>
      </w:r>
      <w:r>
        <w:rPr>
          <w:color w:val="000000"/>
          <w:vertAlign w:val="superscript"/>
        </w:rPr>
        <w:t>114</w:t>
      </w:r>
      <w:r>
        <w:rPr>
          <w:color w:val="000000"/>
        </w:rPr>
        <w:t xml:space="preserve">  Publiczne przedszkola, publiczne szkoły podstawowe z oddziałami przedszkolnymi oraz publiczne inne formy wychowania p</w:t>
      </w:r>
      <w:r>
        <w:rPr>
          <w:color w:val="000000"/>
        </w:rPr>
        <w:t>rzedszkolnego, prowadzone przez osoby prawne niebędące jednostkami samorządu terytorialnego i osoby fizyczne, pobierają opłaty za korzystanie z wychowania przedszkolnego, w wysokości nie wyższej niż wysokość opłat ustalonych przez radę gminy na podstawie u</w:t>
      </w:r>
      <w:r>
        <w:rPr>
          <w:color w:val="000000"/>
        </w:rPr>
        <w:t>st. 5 pkt 1.</w:t>
      </w:r>
    </w:p>
    <w:p w:rsidR="00A573AC" w:rsidRDefault="00085D29">
      <w:pPr>
        <w:spacing w:before="26" w:after="0"/>
      </w:pPr>
      <w:r>
        <w:rPr>
          <w:color w:val="000000"/>
        </w:rPr>
        <w:t xml:space="preserve">5g.  </w:t>
      </w:r>
      <w:r>
        <w:rPr>
          <w:color w:val="000000"/>
          <w:vertAlign w:val="superscript"/>
        </w:rPr>
        <w:t>115</w:t>
      </w:r>
      <w:r>
        <w:rPr>
          <w:color w:val="000000"/>
        </w:rPr>
        <w:t xml:space="preserve">  Organ prowadzący publiczne przedszkole, publiczną szkołę podstawową z oddziałami przedszkolnymi, publiczną inną formę wychowania przedszkolnego, niepubliczne przedszkole, o którym mowa w art. 90 ust. 1b, niepubliczną szkołę podstawow</w:t>
      </w:r>
      <w:r>
        <w:rPr>
          <w:color w:val="000000"/>
        </w:rPr>
        <w:t xml:space="preserve">ą z oddziałami przedszkolnymi, o których mowa w art. 90 ust. 1ba, lub niepubliczną inną formę wychowania przedszkolnego, o której mowa w art. 90 ust. 1c, zwalnia rodziców w całości lub w części z opłat za korzystanie z wychowania </w:t>
      </w:r>
      <w:r>
        <w:rPr>
          <w:color w:val="000000"/>
        </w:rPr>
        <w:lastRenderedPageBreak/>
        <w:t>przedszkolnego, na warunka</w:t>
      </w:r>
      <w:r>
        <w:rPr>
          <w:color w:val="000000"/>
        </w:rPr>
        <w:t>ch określonych przez radę gminy na podstawie ust. 5 pkt 2. Organ prowadzący może upoważnić do udzielania tych zwolnień odpowiednio dyrektora przedszkola lub szkoły podstawowej.</w:t>
      </w:r>
    </w:p>
    <w:p w:rsidR="00A573AC" w:rsidRDefault="00085D29">
      <w:pPr>
        <w:spacing w:before="26" w:after="0"/>
      </w:pPr>
      <w:r>
        <w:rPr>
          <w:color w:val="000000"/>
        </w:rPr>
        <w:t xml:space="preserve">5h.  </w:t>
      </w:r>
      <w:r>
        <w:rPr>
          <w:color w:val="000000"/>
          <w:vertAlign w:val="superscript"/>
        </w:rPr>
        <w:t>116</w:t>
      </w:r>
      <w:r>
        <w:rPr>
          <w:color w:val="000000"/>
        </w:rPr>
        <w:t xml:space="preserve">  Osoba prawna niebędąca jednostką samorządu terytorialnego lub osoba f</w:t>
      </w:r>
      <w:r>
        <w:rPr>
          <w:color w:val="000000"/>
        </w:rPr>
        <w:t>izyczna prowadząca publiczne przedszkole, publiczną szkołę podstawową z oddziałami przedszkolnymi, publiczną inną formę wychowania przedszkolnego, niepubliczne przedszkole, o którym mowa w art. 90 ust. 1b, niepubliczną szkołę podstawową z oddziałami przeds</w:t>
      </w:r>
      <w:r>
        <w:rPr>
          <w:color w:val="000000"/>
        </w:rPr>
        <w:t>zkolnymi, o których mowa w art. 90 ust. 1ba, lub niepubliczną inną formę wychowania przedszkolnego, o której mowa w art. 90 ust. 1c, może przyznać częściowe lub całkowite zwolnienie z opłat za korzystanie z wychowania przedszkolnego również w przypadkach i</w:t>
      </w:r>
      <w:r>
        <w:rPr>
          <w:color w:val="000000"/>
        </w:rPr>
        <w:t>nnych niż określone przez radę gminy na podstawie ust. 5 pkt 2.</w:t>
      </w:r>
    </w:p>
    <w:p w:rsidR="00A573AC" w:rsidRDefault="00085D29">
      <w:pPr>
        <w:spacing w:before="26" w:after="0"/>
      </w:pPr>
      <w:r>
        <w:rPr>
          <w:color w:val="000000"/>
        </w:rPr>
        <w:t>5i.  Rodzic zamierzający ubiegać się o całkowite lub częściowe zwolnienie z opłat, o którym mowa w ust. 5 pkt 2, przedstawia w formie oświadczenia dane niezbędne do ustalenia uprawnienia do te</w:t>
      </w:r>
      <w:r>
        <w:rPr>
          <w:color w:val="000000"/>
        </w:rPr>
        <w:t>go zwolnienia.</w:t>
      </w:r>
    </w:p>
    <w:p w:rsidR="00A573AC" w:rsidRDefault="00085D29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117</w:t>
      </w:r>
      <w:r>
        <w:rPr>
          <w:color w:val="000000"/>
        </w:rPr>
        <w:t xml:space="preserve">  Do ustalania opłat za korzystanie z wyżywienia w publicznych przedszkolach, oddziałach przedszkolnych w publicznych szkołach podstawowych oraz publicznych innych formach wychowania przedszkolnego przepisy art. 106 ustawy - Prawo ośw</w:t>
      </w:r>
      <w:r>
        <w:rPr>
          <w:color w:val="000000"/>
        </w:rPr>
        <w:t>iatowe stosuje się odpowiednio.</w:t>
      </w:r>
    </w:p>
    <w:p w:rsidR="00A573AC" w:rsidRDefault="00085D29">
      <w:pPr>
        <w:spacing w:before="26" w:after="0"/>
      </w:pPr>
      <w:r>
        <w:rPr>
          <w:color w:val="000000"/>
        </w:rPr>
        <w:t xml:space="preserve">7.  </w:t>
      </w:r>
      <w:r>
        <w:rPr>
          <w:color w:val="000000"/>
          <w:vertAlign w:val="superscript"/>
        </w:rPr>
        <w:t>118</w:t>
      </w:r>
      <w:r>
        <w:rPr>
          <w:color w:val="000000"/>
        </w:rPr>
        <w:t xml:space="preserve">  (uchylony).</w:t>
      </w:r>
    </w:p>
    <w:p w:rsidR="00A573AC" w:rsidRDefault="00085D29">
      <w:pPr>
        <w:spacing w:before="26" w:after="0"/>
      </w:pPr>
      <w:r>
        <w:rPr>
          <w:color w:val="000000"/>
        </w:rPr>
        <w:t xml:space="preserve">8.  </w:t>
      </w:r>
      <w:r>
        <w:rPr>
          <w:color w:val="000000"/>
          <w:vertAlign w:val="superscript"/>
        </w:rPr>
        <w:t>119</w:t>
      </w:r>
      <w:r>
        <w:rPr>
          <w:color w:val="000000"/>
        </w:rPr>
        <w:t xml:space="preserve">  Publiczne przedszkola, publiczne szkoły podstawowe z oddziałami przedszkolnymi, publiczne inne formy wychowania przedszkolnego, niepubliczne przedszkola, o których mowa w art. 90 ust. 1b, niepub</w:t>
      </w:r>
      <w:r>
        <w:rPr>
          <w:color w:val="000000"/>
        </w:rPr>
        <w:t xml:space="preserve">liczne szkoły podstawowe z oddziałami przedszkolnymi, o których mowa w art. 90 ust. 1ba, oraz niepubliczne inne formy wychowania przedszkolnego, o których mowa w art. 90 ust. 1c, nie mogą pobierać opłat innych niż opłaty ustalone zgodnie z ust. 5, 5f, 6 i </w:t>
      </w:r>
      <w:r>
        <w:rPr>
          <w:color w:val="000000"/>
        </w:rPr>
        <w:t>9.</w:t>
      </w:r>
    </w:p>
    <w:p w:rsidR="00A573AC" w:rsidRDefault="00085D29">
      <w:pPr>
        <w:spacing w:before="26" w:after="0"/>
      </w:pPr>
      <w:r>
        <w:rPr>
          <w:color w:val="000000"/>
        </w:rPr>
        <w:t xml:space="preserve">9.  </w:t>
      </w:r>
      <w:r>
        <w:rPr>
          <w:color w:val="000000"/>
          <w:vertAlign w:val="superscript"/>
        </w:rPr>
        <w:t>120</w:t>
      </w:r>
      <w:r>
        <w:rPr>
          <w:color w:val="000000"/>
        </w:rPr>
        <w:t xml:space="preserve">  Do przedszkoli, szkół podstawowych z oddziałami przedszkolnymi lub innych form wychowania przedszkolnego prowadzonych przez organy, o których mowa w art. 8 ust. 4 i 17 ustawy - Prawo oświatowe, stosuje się odpowiednio przepisy ust. 5-5e, 5g, 5i</w:t>
      </w:r>
      <w:r>
        <w:rPr>
          <w:color w:val="000000"/>
        </w:rPr>
        <w:t xml:space="preserve"> oraz 6, z tym że kompetencje rady gminy określone w ust. 5 wykonują te organy.</w:t>
      </w:r>
    </w:p>
    <w:p w:rsidR="00A573AC" w:rsidRDefault="00085D29">
      <w:pPr>
        <w:spacing w:before="26" w:after="0"/>
      </w:pPr>
      <w:r>
        <w:rPr>
          <w:color w:val="000000"/>
        </w:rPr>
        <w:t xml:space="preserve">10.  </w:t>
      </w:r>
      <w:r>
        <w:rPr>
          <w:color w:val="000000"/>
          <w:vertAlign w:val="superscript"/>
        </w:rPr>
        <w:t>121</w:t>
      </w:r>
      <w:r>
        <w:rPr>
          <w:color w:val="000000"/>
        </w:rPr>
        <w:t xml:space="preserve">  W przypadku przedszkoli, szkół podstawowych z oddziałami przedszkolnymi lub innych form wychowania przedszkolnego prowadzonych przez jednostki samorządu terytorialneg</w:t>
      </w:r>
      <w:r>
        <w:rPr>
          <w:color w:val="000000"/>
        </w:rPr>
        <w:t>o, zadania i kompetencje organu prowadzącego określone w ust. 5g, wykonuje organ wykonawczy tej jednostki.</w:t>
      </w:r>
    </w:p>
    <w:p w:rsidR="00A573AC" w:rsidRDefault="00A573AC">
      <w:pPr>
        <w:spacing w:before="250" w:after="0"/>
      </w:pPr>
    </w:p>
    <w:p w:rsidR="00A573AC" w:rsidRDefault="00085D29">
      <w:pPr>
        <w:spacing w:after="0"/>
      </w:pPr>
      <w:r>
        <w:rPr>
          <w:color w:val="000000"/>
          <w:vertAlign w:val="superscript"/>
        </w:rPr>
        <w:t>101</w:t>
      </w:r>
      <w:r>
        <w:rPr>
          <w:color w:val="000000"/>
        </w:rPr>
        <w:t xml:space="preserve"> Art. 14 ust. 1 uchylony przez art. 15 pkt 21 lit. a ustawy z dnia 14 grudnia 2016 r. (Dz.U.2017.60) zmieniającej nin. ustawę z dniem 1 września </w:t>
      </w:r>
      <w:r>
        <w:rPr>
          <w:color w:val="000000"/>
        </w:rPr>
        <w:t>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102</w:t>
      </w:r>
      <w:r>
        <w:rPr>
          <w:color w:val="000000"/>
        </w:rPr>
        <w:t> Art. 14 ust. 1a uchylony przez art. 15 pkt 21 lit. a ustawy z dnia 14 grudnia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103</w:t>
      </w:r>
      <w:r>
        <w:rPr>
          <w:color w:val="000000"/>
        </w:rPr>
        <w:t> Art. 14 ust. 1b uchylony przez art. 15 pkt 21 lit. a ustawy z dnia 14 grudnia 2016 r. (</w:t>
      </w:r>
      <w:r>
        <w:rPr>
          <w:color w:val="000000"/>
        </w:rPr>
        <w:t>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lastRenderedPageBreak/>
        <w:t>104</w:t>
      </w:r>
      <w:r>
        <w:rPr>
          <w:color w:val="000000"/>
        </w:rPr>
        <w:t> Art. 14 ust. 2 uchylony przez art. 15 pkt 21 lit. a ustawy z dnia 14 grudnia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105</w:t>
      </w:r>
      <w:r>
        <w:rPr>
          <w:color w:val="000000"/>
        </w:rPr>
        <w:t xml:space="preserve"> Art. 14 ust. 3 uchylony przez </w:t>
      </w:r>
      <w:r>
        <w:rPr>
          <w:color w:val="000000"/>
        </w:rPr>
        <w:t>art. 15 pkt 21 lit. a ustawy z dnia 14 grudnia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106</w:t>
      </w:r>
      <w:r>
        <w:rPr>
          <w:color w:val="000000"/>
        </w:rPr>
        <w:t> Art. 14 ust. 3a uchylony przez art. 15 pkt 21 lit. a ustawy z dnia 14 grudnia 2016 r. (Dz.U.2017.60) zmieniającej nin. ustawę z dn</w:t>
      </w:r>
      <w:r>
        <w:rPr>
          <w:color w:val="000000"/>
        </w:rPr>
        <w:t>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107</w:t>
      </w:r>
      <w:r>
        <w:rPr>
          <w:color w:val="000000"/>
        </w:rPr>
        <w:t> Art. 14 ust. 4 uchylony przez art. 15 pkt 21 lit. a ustawy z dnia 14 grudnia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108</w:t>
      </w:r>
      <w:r>
        <w:rPr>
          <w:color w:val="000000"/>
        </w:rPr>
        <w:t> Art. 14 ust. 4a uchylony przez art. 15 pkt 21 lit. a ustawy z dnia 14 gru</w:t>
      </w:r>
      <w:r>
        <w:rPr>
          <w:color w:val="000000"/>
        </w:rPr>
        <w:t>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109</w:t>
      </w:r>
      <w:r>
        <w:rPr>
          <w:color w:val="000000"/>
        </w:rPr>
        <w:t> Art. 14 ust. 4b uchylony przez art. 15 pkt 21 lit. a ustawy z dnia 14 grudnia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110</w:t>
      </w:r>
      <w:r>
        <w:rPr>
          <w:color w:val="000000"/>
        </w:rPr>
        <w:t xml:space="preserve"> Art. 14 ust. 5 </w:t>
      </w:r>
      <w:r>
        <w:rPr>
          <w:color w:val="000000"/>
        </w:rPr>
        <w:t>pkt 1 zdanie wstępne zmienione przez art. 2 pkt 1 ustawy z dnia 1 grudnia 2016 r. (Dz.U.2016.1985) zmieniającej nin. ustawę z dniem 9 grudnia 2016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111</w:t>
      </w:r>
      <w:r>
        <w:rPr>
          <w:color w:val="000000"/>
        </w:rPr>
        <w:t> Art. 14 ust. 5 pkt 1 lit. a zmieniona przez art. 15 pkt 21 lit. b ustawy z dnia 14 grudnia 2016 r. (Dz</w:t>
      </w:r>
      <w:r>
        <w:rPr>
          <w:color w:val="000000"/>
        </w:rPr>
        <w:t>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112</w:t>
      </w:r>
      <w:r>
        <w:rPr>
          <w:color w:val="000000"/>
        </w:rPr>
        <w:t> Art. 14 ust. 5 pkt 1 lit. b zmieniona przez art. 15 pkt 21 lit. b ustawy z dnia 14 grudnia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113</w:t>
      </w:r>
      <w:r>
        <w:rPr>
          <w:color w:val="000000"/>
        </w:rPr>
        <w:t xml:space="preserve"> Art. 14 ust. 5aa </w:t>
      </w:r>
      <w:r>
        <w:rPr>
          <w:color w:val="000000"/>
        </w:rPr>
        <w:t>dodany przez art. 2 pkt 2 ustawy z dnia 21 kwietnia 2017 r. (Dz.U.2017.949) zmieniającej nin. ustawę z dniem 16 czerwca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114</w:t>
      </w:r>
      <w:r>
        <w:rPr>
          <w:color w:val="000000"/>
        </w:rPr>
        <w:t> Art. 14 ust. 5f zmieniony przez art. 15 pkt 21 lit. c ustawy z dnia 14 grudnia 2016 r. (Dz.U.2017.60) zmieniającej nin. usta</w:t>
      </w:r>
      <w:r>
        <w:rPr>
          <w:color w:val="000000"/>
        </w:rPr>
        <w:t>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115</w:t>
      </w:r>
      <w:r>
        <w:rPr>
          <w:color w:val="000000"/>
        </w:rPr>
        <w:t> Art. 14 ust. 5g zmieniony przez art. 15 pkt 21 lit. c ustawy z dnia 14 grudnia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116</w:t>
      </w:r>
      <w:r>
        <w:rPr>
          <w:color w:val="000000"/>
        </w:rPr>
        <w:t> Art. 14 ust. 5h zmieniony przez art. 15 pkt 21 lit. c ustawy z d</w:t>
      </w:r>
      <w:r>
        <w:rPr>
          <w:color w:val="000000"/>
        </w:rPr>
        <w:t>nia 14 grudnia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117</w:t>
      </w:r>
      <w:r>
        <w:rPr>
          <w:color w:val="000000"/>
        </w:rPr>
        <w:t> Art. 14 ust. 6 zmieniony przez art. 15 pkt 21 lit. d ustawy z dnia 14 grudnia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118</w:t>
      </w:r>
      <w:r>
        <w:rPr>
          <w:color w:val="000000"/>
        </w:rPr>
        <w:t xml:space="preserve"> Art. </w:t>
      </w:r>
      <w:r>
        <w:rPr>
          <w:color w:val="000000"/>
        </w:rPr>
        <w:t>14 ust. 7 uchylony przez art. 15 pkt 21 lit. e ustawy z dnia 14 grudnia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119</w:t>
      </w:r>
      <w:r>
        <w:rPr>
          <w:color w:val="000000"/>
        </w:rPr>
        <w:t> Art. 14 ust. 8 zmieniony przez art. 15 pkt 21 lit. f ustawy z dnia 14 grudnia 2016 r. (Dz.U.2017.60) zmie</w:t>
      </w:r>
      <w:r>
        <w:rPr>
          <w:color w:val="000000"/>
        </w:rPr>
        <w:t>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120</w:t>
      </w:r>
      <w:r>
        <w:rPr>
          <w:color w:val="000000"/>
        </w:rPr>
        <w:t> Art. 14 ust. 9 zmieniony przez art. 15 pkt 21 lit. f ustawy z dnia 14 grudnia 2016 r. (Dz.U.2017.60) zmieniającej nin. ustawę z dniem 1 września 2017 r.</w:t>
      </w:r>
    </w:p>
    <w:p w:rsidR="00A573AC" w:rsidRDefault="00085D29">
      <w:pPr>
        <w:spacing w:after="0"/>
      </w:pPr>
      <w:r>
        <w:rPr>
          <w:color w:val="000000"/>
          <w:vertAlign w:val="superscript"/>
        </w:rPr>
        <w:t>121</w:t>
      </w:r>
      <w:r>
        <w:rPr>
          <w:color w:val="000000"/>
        </w:rPr>
        <w:t> Art. 14 ust. 10 dodany przez art. 15 pkt 21 lit</w:t>
      </w:r>
      <w:r>
        <w:rPr>
          <w:color w:val="000000"/>
        </w:rPr>
        <w:t>. g ustawy z dnia 14 grudnia 2016 r. (Dz.U.2017.60) zmieniającej nin. ustawę z dniem 1 września 2017 r.</w:t>
      </w:r>
    </w:p>
    <w:sectPr w:rsidR="00A573A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057D1"/>
    <w:multiLevelType w:val="multilevel"/>
    <w:tmpl w:val="473E7148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AC"/>
    <w:rsid w:val="00085D29"/>
    <w:rsid w:val="00A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E04EF-B366-4C13-BA7E-82401C3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Krzowska</dc:creator>
  <cp:lastModifiedBy>Małgorzata Krzowska</cp:lastModifiedBy>
  <cp:revision>2</cp:revision>
  <dcterms:created xsi:type="dcterms:W3CDTF">2017-09-20T11:48:00Z</dcterms:created>
  <dcterms:modified xsi:type="dcterms:W3CDTF">2017-09-20T11:48:00Z</dcterms:modified>
</cp:coreProperties>
</file>